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90"/>
        <w:gridCol w:w="3436"/>
      </w:tblGrid>
      <w:tr w:rsidR="00502CF5" w:rsidTr="00BC7CD6">
        <w:tc>
          <w:tcPr>
            <w:tcW w:w="6390" w:type="dxa"/>
          </w:tcPr>
          <w:p w:rsidR="00502CF5" w:rsidRDefault="00BC7CD6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</w:t>
            </w:r>
            <w:r w:rsidR="00E134F3">
              <w:rPr>
                <w:szCs w:val="24"/>
                <w:lang w:eastAsia="lt-LT"/>
              </w:rPr>
              <w:t xml:space="preserve">         </w:t>
            </w:r>
            <w:r>
              <w:rPr>
                <w:szCs w:val="24"/>
                <w:lang w:eastAsia="lt-LT"/>
              </w:rPr>
              <w:t>APLINKOS APSAUGOS AGENTŪRA</w:t>
            </w:r>
          </w:p>
        </w:tc>
        <w:tc>
          <w:tcPr>
            <w:tcW w:w="3436" w:type="dxa"/>
          </w:tcPr>
          <w:p w:rsidR="00502CF5" w:rsidRDefault="00502CF5" w:rsidP="00BC7CD6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 (</w:t>
      </w:r>
      <w:r>
        <w:rPr>
          <w:i/>
          <w:szCs w:val="24"/>
          <w:lang w:eastAsia="lt-LT"/>
        </w:rPr>
        <w:t>didžiosiomis raidėmis</w:t>
      </w:r>
      <w:r>
        <w:rPr>
          <w:szCs w:val="24"/>
          <w:lang w:eastAsia="lt-LT"/>
        </w:rPr>
        <w:t>))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BC7CD6">
        <w:rPr>
          <w:b/>
          <w:szCs w:val="24"/>
          <w:lang w:eastAsia="lt-LT"/>
        </w:rPr>
        <w:t xml:space="preserve"> </w:t>
      </w:r>
      <w:r w:rsidR="00BC7CD6" w:rsidRPr="00BC7CD6">
        <w:rPr>
          <w:b/>
          <w:szCs w:val="24"/>
          <w:u w:val="single"/>
          <w:lang w:eastAsia="lt-LT"/>
        </w:rPr>
        <w:t>TL-M.</w:t>
      </w:r>
      <w:r w:rsidR="00FB7767">
        <w:rPr>
          <w:b/>
          <w:szCs w:val="24"/>
          <w:u w:val="single"/>
          <w:lang w:eastAsia="lt-LT"/>
        </w:rPr>
        <w:t>3</w:t>
      </w:r>
      <w:r w:rsidR="00BC7CD6" w:rsidRPr="00BC7CD6">
        <w:rPr>
          <w:b/>
          <w:szCs w:val="24"/>
          <w:u w:val="single"/>
          <w:lang w:eastAsia="lt-LT"/>
        </w:rPr>
        <w:t>-</w:t>
      </w:r>
      <w:r w:rsidR="00172065">
        <w:rPr>
          <w:b/>
          <w:szCs w:val="24"/>
          <w:u w:val="single"/>
          <w:lang w:eastAsia="lt-LT"/>
        </w:rPr>
        <w:t>1</w:t>
      </w:r>
      <w:r w:rsidR="00BC7CD6" w:rsidRPr="00BC7CD6">
        <w:rPr>
          <w:b/>
          <w:szCs w:val="24"/>
          <w:u w:val="single"/>
          <w:lang w:eastAsia="lt-LT"/>
        </w:rPr>
        <w:t>/201</w:t>
      </w:r>
      <w:r w:rsidR="005D4FAE">
        <w:rPr>
          <w:b/>
          <w:szCs w:val="24"/>
          <w:u w:val="single"/>
          <w:lang w:eastAsia="lt-LT"/>
        </w:rPr>
        <w:t>4</w:t>
      </w:r>
      <w:r>
        <w:rPr>
          <w:b/>
          <w:szCs w:val="24"/>
          <w:lang w:eastAsia="lt-LT"/>
        </w:rPr>
        <w:t>_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A6952">
        <w:rPr>
          <w:szCs w:val="24"/>
          <w:lang w:eastAsia="lt-LT"/>
        </w:rPr>
        <w:t>3</w:t>
      </w:r>
      <w:r>
        <w:rPr>
          <w:szCs w:val="24"/>
          <w:lang w:eastAsia="lt-LT"/>
        </w:rPr>
        <w:t>] [</w:t>
      </w:r>
      <w:r w:rsidR="00FA6952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1</w:t>
      </w:r>
      <w:r w:rsidR="00BC7CD6"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8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2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5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3</w:t>
      </w:r>
      <w:r>
        <w:rPr>
          <w:szCs w:val="24"/>
          <w:lang w:eastAsia="lt-LT"/>
        </w:rPr>
        <w:t>] [</w:t>
      </w:r>
      <w:r w:rsidR="00172065">
        <w:rPr>
          <w:szCs w:val="24"/>
          <w:lang w:eastAsia="lt-LT"/>
        </w:rPr>
        <w:t>7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BC7CD6" w:rsidRDefault="00BC7CD6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Pr="00FA6952" w:rsidRDefault="00FA6952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</w:t>
      </w:r>
      <w:r w:rsidR="00172065">
        <w:rPr>
          <w:szCs w:val="24"/>
          <w:lang w:eastAsia="lt-LT"/>
        </w:rPr>
        <w:t>Transexport</w:t>
      </w:r>
      <w:r>
        <w:rPr>
          <w:szCs w:val="24"/>
          <w:lang w:eastAsia="lt-LT"/>
        </w:rPr>
        <w:t>“</w:t>
      </w:r>
      <w:r w:rsidR="00172065">
        <w:rPr>
          <w:szCs w:val="24"/>
          <w:lang w:eastAsia="lt-LT"/>
        </w:rPr>
        <w:t xml:space="preserve"> sunkiasvorių</w:t>
      </w:r>
      <w:r>
        <w:rPr>
          <w:szCs w:val="24"/>
          <w:lang w:eastAsia="lt-LT"/>
        </w:rPr>
        <w:t xml:space="preserve"> </w:t>
      </w:r>
      <w:r w:rsidR="00FB7767">
        <w:rPr>
          <w:szCs w:val="24"/>
          <w:lang w:eastAsia="lt-LT"/>
        </w:rPr>
        <w:t xml:space="preserve">eksploatuoti netinkamų transporto priemonių </w:t>
      </w:r>
      <w:r w:rsidR="00172065">
        <w:rPr>
          <w:szCs w:val="24"/>
          <w:lang w:eastAsia="lt-LT"/>
        </w:rPr>
        <w:t>apdorojimas Sasnavos g. 70,</w:t>
      </w:r>
      <w:r w:rsidR="00FB7767">
        <w:rPr>
          <w:szCs w:val="24"/>
          <w:lang w:eastAsia="lt-LT"/>
        </w:rPr>
        <w:t xml:space="preserve"> Marijampolė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(ūkinės veiklos objekto pavadinimas, adresas)</w:t>
      </w:r>
    </w:p>
    <w:p w:rsidR="00502CF5" w:rsidRDefault="00502CF5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172065" w:rsidRDefault="00FA6952" w:rsidP="00172065">
      <w:pPr>
        <w:pBdr>
          <w:bottom w:val="single" w:sz="12" w:space="1" w:color="auto"/>
        </w:pBdr>
      </w:pPr>
      <w:r>
        <w:t>UAB „</w:t>
      </w:r>
      <w:proofErr w:type="spellStart"/>
      <w:r w:rsidR="00172065">
        <w:t>Tarnsexport</w:t>
      </w:r>
      <w:proofErr w:type="spellEnd"/>
      <w:r w:rsidR="00FB7767">
        <w:t>“</w:t>
      </w:r>
      <w:r w:rsidR="00172065">
        <w:t xml:space="preserve"> </w:t>
      </w:r>
      <w:r w:rsidR="00FB7767">
        <w:t xml:space="preserve"> </w:t>
      </w:r>
      <w:r w:rsidR="00172065">
        <w:t xml:space="preserve">Sasnavos g. 70, </w:t>
      </w:r>
      <w:r w:rsidR="00FB7767">
        <w:t xml:space="preserve"> </w:t>
      </w:r>
      <w:r w:rsidR="00172065">
        <w:t xml:space="preserve">Marijampolė, tel.: 8 647 32771, </w:t>
      </w:r>
    </w:p>
    <w:p w:rsidR="00502CF5" w:rsidRPr="00172065" w:rsidRDefault="00172065" w:rsidP="00172065">
      <w:pPr>
        <w:pBdr>
          <w:bottom w:val="single" w:sz="12" w:space="1" w:color="auto"/>
        </w:pBdr>
        <w:rPr>
          <w:szCs w:val="24"/>
          <w:lang w:val="en-US" w:eastAsia="lt-LT"/>
        </w:rPr>
      </w:pPr>
      <w:proofErr w:type="spellStart"/>
      <w:r>
        <w:t>el.p</w:t>
      </w:r>
      <w:proofErr w:type="spellEnd"/>
      <w:r>
        <w:t xml:space="preserve">. </w:t>
      </w:r>
      <w:proofErr w:type="spellStart"/>
      <w:r>
        <w:t>uabtransexport</w:t>
      </w:r>
      <w:proofErr w:type="spellEnd"/>
      <w:r>
        <w:rPr>
          <w:lang w:val="en-US"/>
        </w:rPr>
        <w:t>@gmail.com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1. Specialioji (-</w:t>
      </w:r>
      <w:proofErr w:type="spellStart"/>
      <w:r>
        <w:rPr>
          <w:szCs w:val="24"/>
          <w:lang w:eastAsia="lt-LT"/>
        </w:rPr>
        <w:t>iosios</w:t>
      </w:r>
      <w:proofErr w:type="spellEnd"/>
      <w:r>
        <w:rPr>
          <w:szCs w:val="24"/>
          <w:lang w:eastAsia="lt-LT"/>
        </w:rPr>
        <w:t>) dalis (-</w:t>
      </w:r>
      <w:proofErr w:type="spellStart"/>
      <w:r>
        <w:rPr>
          <w:szCs w:val="24"/>
          <w:lang w:eastAsia="lt-LT"/>
        </w:rPr>
        <w:t>ys</w:t>
      </w:r>
      <w:proofErr w:type="spellEnd"/>
      <w:r>
        <w:rPr>
          <w:szCs w:val="24"/>
          <w:lang w:eastAsia="lt-LT"/>
        </w:rPr>
        <w:t>):</w:t>
      </w:r>
      <w:r w:rsidR="00BC7CD6">
        <w:rPr>
          <w:szCs w:val="24"/>
          <w:lang w:eastAsia="lt-LT"/>
        </w:rPr>
        <w:t xml:space="preserve"> 3.1. apdorojamos atliekos (naudojamos ar šalinamos, įskaitant paruošimą naudoti ar šalinti), išskyrus</w:t>
      </w:r>
      <w:r w:rsidR="003D596D">
        <w:rPr>
          <w:szCs w:val="24"/>
          <w:lang w:eastAsia="lt-LT"/>
        </w:rPr>
        <w:t xml:space="preserve"> atvejus, kai vadovaujantis Taršos integruotos prevencijos ir kontrolės leidimų išdavimo, pakeitimo ir panaikinimo taisyklių, patvirtintų Lietuvos Respublikos aplinkos ministro 2013 m. liepos 15 m. įsakymu Nr. D1-528 „Dėl Taršos integruotos prevencijos ir kontrolės leidimų išdavimo, pakeitimo ir  galiojimo panaikinimo taisyklių patvirtinimo“, 1 priedu tokiai veiklai reikia turėti Taršos integruotos prevencijos ir kontrolės leidimą.</w:t>
      </w:r>
    </w:p>
    <w:p w:rsidR="003D596D" w:rsidRDefault="003D596D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</w:t>
      </w:r>
      <w:r w:rsidR="003D596D">
        <w:rPr>
          <w:szCs w:val="24"/>
          <w:lang w:eastAsia="lt-LT"/>
        </w:rPr>
        <w:t>: -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E847AE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</w:t>
      </w:r>
      <w:r w:rsidR="00E847AE">
        <w:rPr>
          <w:szCs w:val="24"/>
          <w:lang w:eastAsia="lt-LT"/>
        </w:rPr>
        <w:t xml:space="preserve">2016  </w:t>
      </w:r>
      <w:r>
        <w:rPr>
          <w:szCs w:val="24"/>
          <w:lang w:eastAsia="lt-LT"/>
        </w:rPr>
        <w:t xml:space="preserve"> m. </w:t>
      </w:r>
      <w:r w:rsidR="00E847AE">
        <w:rPr>
          <w:szCs w:val="24"/>
          <w:lang w:eastAsia="lt-LT"/>
        </w:rPr>
        <w:t xml:space="preserve">  liepos          </w:t>
      </w:r>
      <w:r>
        <w:rPr>
          <w:szCs w:val="24"/>
          <w:lang w:eastAsia="lt-LT"/>
        </w:rPr>
        <w:t>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3D596D" w:rsidRDefault="003D596D" w:rsidP="003D596D">
      <w:pPr>
        <w:tabs>
          <w:tab w:val="right" w:pos="9071"/>
        </w:tabs>
      </w:pPr>
      <w:r>
        <w:t xml:space="preserve">Direktoriaus įgaliota </w:t>
      </w:r>
    </w:p>
    <w:p w:rsidR="003D596D" w:rsidRDefault="003D596D" w:rsidP="003D596D">
      <w:pPr>
        <w:tabs>
          <w:tab w:val="right" w:pos="9071"/>
        </w:tabs>
      </w:pPr>
      <w:r>
        <w:t>Poveikio aplinkai vertinimo</w:t>
      </w:r>
    </w:p>
    <w:p w:rsidR="003D596D" w:rsidRPr="0028505A" w:rsidRDefault="003D596D" w:rsidP="003D596D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3D596D" w:rsidRPr="0028505A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502CF5" w:rsidRDefault="003D596D" w:rsidP="00502CF5">
      <w:r>
        <w:t xml:space="preserve">                                                                                                                                     A.V.</w:t>
      </w:r>
    </w:p>
    <w:p w:rsidR="00502CF5" w:rsidRDefault="00502CF5" w:rsidP="00502CF5">
      <w:pPr>
        <w:spacing w:line="300" w:lineRule="atLeast"/>
        <w:ind w:left="10368"/>
        <w:sectPr w:rsidR="00502CF5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lastRenderedPageBreak/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center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757EE1" w:rsidRDefault="00757EE1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NEPAVOJINGOSIOS ATLIEKOS</w:t>
      </w:r>
    </w:p>
    <w:p w:rsidR="00502CF5" w:rsidRDefault="00502CF5" w:rsidP="00502CF5">
      <w:pPr>
        <w:ind w:firstLine="567"/>
        <w:rPr>
          <w:rFonts w:eastAsia="Calibri"/>
          <w:szCs w:val="24"/>
        </w:rPr>
      </w:pPr>
    </w:p>
    <w:p w:rsidR="00623C3A" w:rsidRDefault="00623C3A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nepavojingųjų atliekų kiekis.</w:t>
      </w:r>
    </w:p>
    <w:p w:rsidR="00FA6952" w:rsidRDefault="00FA6952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FA6952">
        <w:rPr>
          <w:rFonts w:eastAsia="Calibri"/>
          <w:szCs w:val="24"/>
          <w:u w:val="single"/>
        </w:rPr>
        <w:t>UAB „</w:t>
      </w:r>
      <w:r w:rsidR="00172065">
        <w:rPr>
          <w:rFonts w:eastAsia="Calibri"/>
          <w:szCs w:val="24"/>
          <w:u w:val="single"/>
        </w:rPr>
        <w:t>Transexport</w:t>
      </w:r>
      <w:r w:rsidR="00FA6952">
        <w:rPr>
          <w:rFonts w:eastAsia="Calibri"/>
          <w:szCs w:val="24"/>
          <w:u w:val="single"/>
        </w:rPr>
        <w:t xml:space="preserve">“ </w:t>
      </w:r>
      <w:r w:rsidR="00172065">
        <w:rPr>
          <w:rFonts w:eastAsia="Calibri"/>
          <w:szCs w:val="24"/>
          <w:u w:val="single"/>
        </w:rPr>
        <w:t xml:space="preserve">sunkiasvorių </w:t>
      </w:r>
      <w:r w:rsidR="00FB7767">
        <w:rPr>
          <w:rFonts w:eastAsia="Calibri"/>
          <w:szCs w:val="24"/>
          <w:u w:val="single"/>
        </w:rPr>
        <w:t xml:space="preserve">eksploatuoti netinkamų transporto priemonių </w:t>
      </w:r>
      <w:r w:rsidR="005D4FAE">
        <w:rPr>
          <w:rFonts w:eastAsia="Calibri"/>
          <w:szCs w:val="24"/>
          <w:u w:val="single"/>
        </w:rPr>
        <w:t>apdorojimas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FB7767" w:rsidRDefault="00FB7767" w:rsidP="00502CF5">
      <w:pPr>
        <w:rPr>
          <w:rFonts w:eastAsia="Calibri"/>
          <w:szCs w:val="24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835"/>
        <w:gridCol w:w="3544"/>
        <w:gridCol w:w="2410"/>
        <w:gridCol w:w="1984"/>
        <w:gridCol w:w="2410"/>
      </w:tblGrid>
      <w:tr w:rsidR="00FB7767" w:rsidTr="009268CA">
        <w:trPr>
          <w:cantSplit/>
        </w:trPr>
        <w:tc>
          <w:tcPr>
            <w:tcW w:w="7462" w:type="dxa"/>
            <w:gridSpan w:val="3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FB7767" w:rsidTr="009268CA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FB7767" w:rsidTr="009268CA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9268CA" w:rsidRPr="00E134F3" w:rsidTr="00022E90">
        <w:trPr>
          <w:cantSplit/>
          <w:trHeight w:val="243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9268CA" w:rsidRPr="00E134F3" w:rsidRDefault="009268CA" w:rsidP="009268CA">
            <w:pPr>
              <w:jc w:val="center"/>
              <w:rPr>
                <w:rFonts w:eastAsia="Calibri"/>
                <w:szCs w:val="22"/>
              </w:rPr>
            </w:pPr>
            <w:r w:rsidRPr="00E134F3">
              <w:rPr>
                <w:rFonts w:eastAsia="Calibri"/>
                <w:szCs w:val="22"/>
              </w:rPr>
              <w:t>Veiklos metu susidarančios ir laikomos nepavojingos atliekos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 w:rsidRPr="005D4FAE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17206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17206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</w:t>
            </w:r>
            <w:r w:rsidR="00172065">
              <w:rPr>
                <w:rFonts w:eastAsia="Calibri"/>
                <w:szCs w:val="22"/>
              </w:rPr>
              <w:t>5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17206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</w:t>
            </w:r>
            <w:r w:rsidR="00692297">
              <w:rPr>
                <w:rFonts w:eastAsia="Calibri"/>
                <w:szCs w:val="22"/>
              </w:rPr>
              <w:t>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17206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</w:t>
            </w:r>
            <w:r w:rsidR="00172065">
              <w:rPr>
                <w:rFonts w:eastAsia="Calibri"/>
                <w:szCs w:val="22"/>
              </w:rPr>
              <w:t xml:space="preserve">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5D4FAE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</w:tbl>
    <w:p w:rsidR="00FB7767" w:rsidRDefault="00FB7767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sz w:val="10"/>
          <w:szCs w:val="10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nepavojingųjų atliekų kiekis jų susidarymo vietoje iki surinkimo (S8).</w:t>
      </w:r>
    </w:p>
    <w:p w:rsidR="00502CF5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laikomos.</w:t>
      </w:r>
    </w:p>
    <w:p w:rsidR="00623C3A" w:rsidRPr="00623C3A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nepavojingosios atliekos.</w:t>
      </w:r>
    </w:p>
    <w:p w:rsidR="00502CF5" w:rsidRPr="00AA4367" w:rsidRDefault="00AA4367" w:rsidP="00502CF5">
      <w:pPr>
        <w:rPr>
          <w:szCs w:val="24"/>
        </w:rPr>
      </w:pPr>
      <w:r>
        <w:rPr>
          <w:szCs w:val="24"/>
        </w:rPr>
        <w:t>Lentelė nepildoma, nes atliekos nebus naudojamos.</w:t>
      </w:r>
    </w:p>
    <w:p w:rsidR="00E5706C" w:rsidRDefault="00E5706C" w:rsidP="00502CF5">
      <w:pPr>
        <w:rPr>
          <w:rFonts w:eastAsia="Calibri"/>
          <w:b/>
          <w:szCs w:val="24"/>
        </w:rPr>
      </w:pPr>
    </w:p>
    <w:p w:rsidR="001E1CC3" w:rsidRDefault="001E1CC3" w:rsidP="00502CF5">
      <w:pPr>
        <w:rPr>
          <w:rFonts w:eastAsia="Calibri"/>
          <w:b/>
          <w:szCs w:val="24"/>
        </w:rPr>
      </w:pPr>
    </w:p>
    <w:p w:rsidR="001E1CC3" w:rsidRDefault="001E1CC3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nepavojingosios atliekos.</w:t>
      </w:r>
    </w:p>
    <w:p w:rsidR="00502CF5" w:rsidRDefault="00623C3A" w:rsidP="00502CF5">
      <w:pPr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šalinamos.</w:t>
      </w:r>
    </w:p>
    <w:p w:rsidR="00623C3A" w:rsidRPr="00623C3A" w:rsidRDefault="00623C3A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5 lentelė</w:t>
      </w:r>
      <w:r>
        <w:rPr>
          <w:rFonts w:eastAsia="Calibri"/>
          <w:szCs w:val="24"/>
        </w:rPr>
        <w:t>. Leidžiamos paruošti naudoti ir (ar) šalinti nepavojingosios atliekos.</w:t>
      </w:r>
    </w:p>
    <w:p w:rsidR="00AA4367" w:rsidRDefault="00757EE1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Nebus naudojamos ar šalinamos nepavojingos atliekos.</w:t>
      </w:r>
    </w:p>
    <w:p w:rsidR="00757EE1" w:rsidRDefault="00757EE1" w:rsidP="00502CF5">
      <w:pPr>
        <w:rPr>
          <w:rFonts w:eastAsia="Calibri"/>
          <w:szCs w:val="24"/>
        </w:rPr>
      </w:pPr>
    </w:p>
    <w:p w:rsidR="00502CF5" w:rsidRDefault="00502CF5" w:rsidP="00502CF5">
      <w:pPr>
        <w:spacing w:line="300" w:lineRule="atLeast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nepavojingųjų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reikalavimus. </w:t>
      </w:r>
    </w:p>
    <w:p w:rsidR="00502CF5" w:rsidRDefault="00502CF5" w:rsidP="00502CF5">
      <w:pPr>
        <w:spacing w:line="300" w:lineRule="atLeast"/>
        <w:rPr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3685"/>
      </w:tblGrid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502CF5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E5706C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B126BF" w:rsidP="00CC44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757EE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lastRenderedPageBreak/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both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PAVOJINGOSIOS ATLIEKOS</w:t>
      </w: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pavojingųjų atliekų kiekis.</w:t>
      </w:r>
    </w:p>
    <w:p w:rsidR="00AA4367" w:rsidRDefault="00AA4367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1E1CC3" w:rsidRPr="001E1CC3">
        <w:rPr>
          <w:rFonts w:eastAsia="Calibri"/>
          <w:szCs w:val="24"/>
          <w:u w:val="single"/>
        </w:rPr>
        <w:t xml:space="preserve"> </w:t>
      </w:r>
      <w:r w:rsidR="001E1CC3">
        <w:rPr>
          <w:rFonts w:eastAsia="Calibri"/>
          <w:szCs w:val="24"/>
          <w:u w:val="single"/>
        </w:rPr>
        <w:t xml:space="preserve">UAB „Transexport“ sunkiasvorių eksploatuoti netinkamų transporto priemonių </w:t>
      </w:r>
      <w:r w:rsidR="005D4FAE">
        <w:rPr>
          <w:rFonts w:eastAsia="Calibri"/>
          <w:szCs w:val="24"/>
          <w:u w:val="single"/>
        </w:rPr>
        <w:t>apdorojimas</w:t>
      </w:r>
      <w:r w:rsidR="003724CB" w:rsidRPr="003724CB">
        <w:rPr>
          <w:rFonts w:eastAsia="Calibri"/>
          <w:szCs w:val="24"/>
          <w:u w:val="single"/>
        </w:rPr>
        <w:t xml:space="preserve"> 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418"/>
        <w:gridCol w:w="2835"/>
        <w:gridCol w:w="2693"/>
        <w:gridCol w:w="1984"/>
        <w:gridCol w:w="1701"/>
        <w:gridCol w:w="1418"/>
      </w:tblGrid>
      <w:tr w:rsidR="00502CF5" w:rsidTr="00757EE1">
        <w:trPr>
          <w:cantSplit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3685" w:type="dxa"/>
            <w:gridSpan w:val="2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1418" w:type="dxa"/>
            <w:vMerge w:val="restart"/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623C3A" w:rsidTr="00757EE1">
        <w:trPr>
          <w:cantSplit/>
          <w:trHeight w:val="85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Didžiausias vienu metu leidžiamas laikyti bendras atliekų, įskaitant apdorojimo metu susidarančių atliekų, kiekis, t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1E1CC3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623C3A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R12, S5</w:t>
            </w:r>
          </w:p>
        </w:tc>
      </w:tr>
      <w:tr w:rsidR="00D42CE4" w:rsidTr="00B52195">
        <w:trPr>
          <w:cantSplit/>
          <w:trHeight w:val="243"/>
        </w:trPr>
        <w:tc>
          <w:tcPr>
            <w:tcW w:w="15026" w:type="dxa"/>
            <w:gridSpan w:val="8"/>
            <w:tcMar>
              <w:left w:w="28" w:type="dxa"/>
              <w:right w:w="28" w:type="dxa"/>
            </w:tcMar>
            <w:vAlign w:val="center"/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Veiklos metu susidarančios ir laikomos pavojingos atliekos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Baterijų ir akumuliatorių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D42CE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06 01*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1E1CC3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</w:t>
            </w:r>
            <w:r w:rsidR="001E1CC3">
              <w:rPr>
                <w:rFonts w:eastAsia="Calibri"/>
                <w:szCs w:val="22"/>
              </w:rPr>
              <w:t>6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Alyvų atliekos; nechlorintos nehalogenintos alyvų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 02 08*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1E1CC3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15 02 </w:t>
            </w:r>
            <w:proofErr w:type="spellStart"/>
            <w:r>
              <w:rPr>
                <w:rFonts w:eastAsia="Calibri"/>
                <w:szCs w:val="22"/>
              </w:rPr>
              <w:t>02</w:t>
            </w:r>
            <w:proofErr w:type="spellEnd"/>
            <w:r>
              <w:rPr>
                <w:rFonts w:eastAsia="Calibri"/>
                <w:szCs w:val="22"/>
              </w:rPr>
              <w:t>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Absorbentai, filtrų medžiagos, (įskaitant kitaip neapibrėžtus tepalų filtrus), pašluostės, apsauginiai drabužiai, užteršti pavojingomis medžiagomis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1E1CC3">
              <w:rPr>
                <w:rFonts w:eastAsia="Calibri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  <w:tr w:rsidR="001E1CC3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E1CC3" w:rsidRDefault="001E1CC3" w:rsidP="007E066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E1CC3" w:rsidRDefault="001E1CC3" w:rsidP="007E066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1CC3" w:rsidRDefault="001E1CC3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 07 03*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E1CC3" w:rsidRDefault="001E1CC3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Kitos kuro rūšys (įskaitant mišinius)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E1CC3" w:rsidRDefault="001E1CC3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Kuras iš transporto priemonių kuro bakų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1E1CC3" w:rsidRPr="00D42CE4" w:rsidRDefault="001E1CC3" w:rsidP="00925951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E1CC3" w:rsidRDefault="001E1CC3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1E1CC3" w:rsidRDefault="001E1CC3" w:rsidP="00925951">
            <w:pPr>
              <w:jc w:val="center"/>
              <w:rPr>
                <w:rFonts w:eastAsia="Calibri"/>
                <w:szCs w:val="22"/>
              </w:rPr>
            </w:pPr>
          </w:p>
          <w:p w:rsidR="001E1CC3" w:rsidRDefault="001E1CC3" w:rsidP="00925951">
            <w:pPr>
              <w:jc w:val="center"/>
              <w:rPr>
                <w:rFonts w:eastAsia="Calibri"/>
                <w:szCs w:val="22"/>
              </w:rPr>
            </w:pPr>
          </w:p>
          <w:p w:rsidR="001E1CC3" w:rsidRDefault="001E1CC3" w:rsidP="001E1CC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R11</w:t>
            </w:r>
          </w:p>
        </w:tc>
      </w:tr>
    </w:tbl>
    <w:p w:rsidR="00502CF5" w:rsidRDefault="00502CF5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pavojingųjų atliekų kiekis jų susidarymo vietoje iki surinkimo.</w:t>
      </w:r>
    </w:p>
    <w:p w:rsidR="00623C3A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BC716B">
        <w:rPr>
          <w:rFonts w:eastAsia="Calibri"/>
          <w:szCs w:val="24"/>
        </w:rPr>
        <w:t>Lentelė nepildoma.</w:t>
      </w:r>
      <w:r>
        <w:rPr>
          <w:rFonts w:eastAsia="Calibri"/>
          <w:szCs w:val="24"/>
        </w:rPr>
        <w:t xml:space="preserve"> Pavojingos atliekos nebus tvarkomos atliekų tvarkymo veikla S8.</w:t>
      </w:r>
    </w:p>
    <w:p w:rsidR="00BC716B" w:rsidRPr="00BC716B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pavojingosios atliekos.</w:t>
      </w:r>
    </w:p>
    <w:p w:rsidR="00623C3A" w:rsidRPr="00BC716B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naudojamos.</w:t>
      </w:r>
    </w:p>
    <w:p w:rsidR="00950E66" w:rsidRDefault="00950E66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pavojingosios atliekos.</w:t>
      </w:r>
    </w:p>
    <w:p w:rsidR="00502CF5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šalinamos.</w:t>
      </w:r>
    </w:p>
    <w:p w:rsidR="00BC716B" w:rsidRPr="00BC716B" w:rsidRDefault="00BC716B" w:rsidP="00502CF5">
      <w:pPr>
        <w:rPr>
          <w:rFonts w:eastAsia="Calibri"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1E1CC3" w:rsidRDefault="001E1CC3" w:rsidP="00FB7767">
      <w:pPr>
        <w:rPr>
          <w:rFonts w:eastAsia="Calibri"/>
          <w:b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5 lentelė</w:t>
      </w:r>
      <w:r>
        <w:rPr>
          <w:rFonts w:eastAsia="Calibri"/>
          <w:szCs w:val="24"/>
        </w:rPr>
        <w:t>. Leidžiamos paruošti naudoti ir (ar) šalinti pavojingosios atliekos.</w:t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 w:rsidR="00BC716B" w:rsidRPr="00BC716B">
        <w:rPr>
          <w:rFonts w:eastAsia="Calibri"/>
          <w:szCs w:val="24"/>
          <w:u w:val="single"/>
        </w:rPr>
        <w:t xml:space="preserve"> </w:t>
      </w:r>
      <w:r w:rsidR="001E1CC3">
        <w:rPr>
          <w:rFonts w:eastAsia="Calibri"/>
          <w:szCs w:val="24"/>
          <w:u w:val="single"/>
        </w:rPr>
        <w:t xml:space="preserve">UAB „Transexport“ sunkiasvorių eksploatuoti netinkamų transporto priemonių </w:t>
      </w:r>
      <w:r w:rsidR="005D4FAE">
        <w:rPr>
          <w:rFonts w:eastAsia="Calibri"/>
          <w:szCs w:val="24"/>
          <w:u w:val="single"/>
        </w:rPr>
        <w:t>apdorojimas</w:t>
      </w:r>
      <w:r w:rsidR="001E1CC3" w:rsidRPr="003724CB">
        <w:rPr>
          <w:rFonts w:eastAsia="Calibri"/>
          <w:szCs w:val="24"/>
          <w:u w:val="single"/>
        </w:rPr>
        <w:t xml:space="preserve"> 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sz w:val="10"/>
          <w:szCs w:val="10"/>
        </w:rPr>
      </w:pPr>
    </w:p>
    <w:tbl>
      <w:tblPr>
        <w:tblW w:w="511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784"/>
        <w:gridCol w:w="1474"/>
        <w:gridCol w:w="3119"/>
        <w:gridCol w:w="2980"/>
        <w:gridCol w:w="2267"/>
        <w:gridCol w:w="1837"/>
      </w:tblGrid>
      <w:tr w:rsidR="00FB7767" w:rsidTr="00BC716B">
        <w:trPr>
          <w:cantSplit/>
          <w:trHeight w:val="300"/>
        </w:trPr>
        <w:tc>
          <w:tcPr>
            <w:tcW w:w="4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atliekų </w:t>
            </w:r>
            <w:proofErr w:type="spellStart"/>
            <w:r>
              <w:rPr>
                <w:rFonts w:eastAsia="Calibri"/>
                <w:sz w:val="22"/>
                <w:szCs w:val="22"/>
              </w:rPr>
              <w:t>technologi</w:t>
            </w:r>
            <w:r w:rsidR="00BC716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nio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srauto žymėjimas</w:t>
            </w:r>
          </w:p>
        </w:tc>
        <w:tc>
          <w:tcPr>
            <w:tcW w:w="6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058" w:type="pct"/>
            <w:vMerge w:val="restart"/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0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1392" w:type="pct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FB7767" w:rsidTr="00BC716B">
        <w:trPr>
          <w:cantSplit/>
          <w:trHeight w:val="855"/>
        </w:trPr>
        <w:tc>
          <w:tcPr>
            <w:tcW w:w="434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605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58" w:type="pct"/>
            <w:vMerge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11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623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 t/m.</w:t>
            </w:r>
          </w:p>
        </w:tc>
      </w:tr>
      <w:tr w:rsidR="00FB7767" w:rsidTr="00BC716B">
        <w:trPr>
          <w:cantSplit/>
          <w:trHeight w:val="243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58" w:type="pct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D0A60" w:rsidTr="003A3E59">
        <w:trPr>
          <w:cantSplit/>
          <w:trHeight w:val="1380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1058" w:type="pct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R12, S5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1E1CC3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1500</w:t>
            </w:r>
          </w:p>
        </w:tc>
      </w:tr>
    </w:tbl>
    <w:p w:rsidR="00FB7767" w:rsidRDefault="00FB7767" w:rsidP="00FB7767">
      <w:pPr>
        <w:tabs>
          <w:tab w:val="left" w:pos="993"/>
        </w:tabs>
        <w:jc w:val="both"/>
        <w:rPr>
          <w:szCs w:val="24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FB7767" w:rsidRDefault="00FB7767" w:rsidP="00FB7767">
      <w:pPr>
        <w:spacing w:line="300" w:lineRule="atLeast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 reikalavimus.</w:t>
      </w:r>
    </w:p>
    <w:p w:rsidR="00FB7767" w:rsidRDefault="00FB7767" w:rsidP="00FB7767">
      <w:pPr>
        <w:spacing w:line="300" w:lineRule="atLeast"/>
        <w:ind w:firstLine="60"/>
        <w:rPr>
          <w:szCs w:val="24"/>
          <w:lang w:eastAsia="lt-LT"/>
        </w:rPr>
      </w:pP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4317"/>
      </w:tblGrid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Vadovautis LR aplinkos ministro 2003-12-19 įsakymu Nr. 684 patvirtintų Pavojingų atliekų tvarkymo licencijavimo taisyklių bei pavojingas atliekas tvarkančių įmonių darbuotojams taikomų kvalifikacinių reikalavimų ir atestavimo tvarkos nuostatomis.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 xml:space="preserve">Veiklos vykdytojas privalo pranešti Aplinkos apsaugos agentūrai apie planuojamus įrenginio eksploatavimo pakeitimus arba veiklos vykdytojo </w:t>
            </w:r>
            <w:r>
              <w:rPr>
                <w:iCs/>
              </w:rPr>
              <w:lastRenderedPageBreak/>
              <w:t>vykdomos ūkinės veiklos pakeitimus.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FB7767" w:rsidRDefault="00FB7767" w:rsidP="00502CF5">
      <w:pPr>
        <w:rPr>
          <w:rFonts w:eastAsia="Calibri"/>
          <w:b/>
          <w:szCs w:val="24"/>
        </w:rPr>
      </w:pPr>
    </w:p>
    <w:p w:rsidR="00FB7767" w:rsidRDefault="00FB7767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9781"/>
        </w:tabs>
        <w:spacing w:line="300" w:lineRule="atLeast"/>
        <w:ind w:left="284" w:firstLine="5245"/>
        <w:jc w:val="both"/>
        <w:sectPr w:rsidR="00502CF5">
          <w:pgSz w:w="16838" w:h="11906" w:orient="landscape"/>
          <w:pgMar w:top="1418" w:right="1418" w:bottom="595" w:left="1134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TARŠOS LEIDIMO NR.</w:t>
      </w:r>
      <w:r w:rsidR="00623C3A">
        <w:rPr>
          <w:rFonts w:eastAsia="Calibri"/>
          <w:b/>
          <w:szCs w:val="24"/>
          <w:lang w:eastAsia="lt-LT"/>
        </w:rPr>
        <w:t xml:space="preserve"> </w:t>
      </w:r>
      <w:r w:rsidR="00623C3A" w:rsidRPr="00BC7CD6">
        <w:rPr>
          <w:b/>
          <w:szCs w:val="24"/>
          <w:u w:val="single"/>
          <w:lang w:eastAsia="lt-LT"/>
        </w:rPr>
        <w:t>TL-M.</w:t>
      </w:r>
      <w:r w:rsidR="00AA6079">
        <w:rPr>
          <w:b/>
          <w:szCs w:val="24"/>
          <w:u w:val="single"/>
          <w:lang w:eastAsia="lt-LT"/>
        </w:rPr>
        <w:t>3</w:t>
      </w:r>
      <w:r w:rsidR="00623C3A" w:rsidRPr="00BC7CD6">
        <w:rPr>
          <w:b/>
          <w:szCs w:val="24"/>
          <w:u w:val="single"/>
          <w:lang w:eastAsia="lt-LT"/>
        </w:rPr>
        <w:t>-</w:t>
      </w:r>
      <w:r w:rsidR="005D4FAE">
        <w:rPr>
          <w:b/>
          <w:szCs w:val="24"/>
          <w:u w:val="single"/>
          <w:lang w:eastAsia="lt-LT"/>
        </w:rPr>
        <w:t>1</w:t>
      </w:r>
      <w:r w:rsidR="00623C3A" w:rsidRPr="00BC7CD6">
        <w:rPr>
          <w:b/>
          <w:szCs w:val="24"/>
          <w:u w:val="single"/>
          <w:lang w:eastAsia="lt-LT"/>
        </w:rPr>
        <w:t>/201</w:t>
      </w:r>
      <w:r w:rsidR="005D4FAE">
        <w:rPr>
          <w:b/>
          <w:szCs w:val="24"/>
          <w:u w:val="single"/>
          <w:lang w:eastAsia="lt-LT"/>
        </w:rPr>
        <w:t>4</w:t>
      </w:r>
      <w:r>
        <w:rPr>
          <w:rFonts w:eastAsia="Calibri"/>
          <w:b/>
          <w:szCs w:val="24"/>
          <w:lang w:eastAsia="lt-LT"/>
        </w:rPr>
        <w:t xml:space="preserve"> 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</w:t>
      </w:r>
      <w:r w:rsidR="00623C3A">
        <w:rPr>
          <w:rFonts w:eastAsia="Calibri"/>
          <w:szCs w:val="24"/>
          <w:lang w:eastAsia="lt-LT"/>
        </w:rPr>
        <w:t xml:space="preserve"> </w:t>
      </w:r>
      <w:r w:rsidR="00C41E71">
        <w:rPr>
          <w:rFonts w:eastAsia="Calibri"/>
          <w:szCs w:val="24"/>
          <w:lang w:eastAsia="lt-LT"/>
        </w:rPr>
        <w:t>Paraiška taršos leidimui gauti su pridedamais priedais;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</w:t>
      </w:r>
      <w:r w:rsidR="00C41E71">
        <w:rPr>
          <w:rFonts w:eastAsia="Calibri"/>
          <w:szCs w:val="24"/>
          <w:lang w:eastAsia="lt-LT"/>
        </w:rPr>
        <w:t xml:space="preserve"> Atliekų naudojimo ar šalinimo techninis reglamentas;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</w:t>
      </w:r>
      <w:r w:rsidR="00C41E71">
        <w:rPr>
          <w:rFonts w:eastAsia="Calibri"/>
          <w:szCs w:val="24"/>
          <w:lang w:eastAsia="lt-LT"/>
        </w:rPr>
        <w:t>Atliekų naudojimo ar šalinimo veiklos nutraukimo planas.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</w:t>
      </w:r>
      <w:r w:rsidR="00C41E71">
        <w:rPr>
          <w:rFonts w:eastAsia="Calibri"/>
          <w:szCs w:val="24"/>
          <w:u w:val="single"/>
          <w:lang w:eastAsia="lt-LT"/>
        </w:rPr>
        <w:t>2016</w:t>
      </w:r>
      <w:r>
        <w:rPr>
          <w:rFonts w:eastAsia="Calibri"/>
          <w:szCs w:val="24"/>
          <w:lang w:eastAsia="lt-LT"/>
        </w:rPr>
        <w:t>____ m. __</w:t>
      </w:r>
      <w:r w:rsidR="00AA6079" w:rsidRPr="00AA6079">
        <w:rPr>
          <w:rFonts w:eastAsia="Calibri"/>
          <w:szCs w:val="24"/>
          <w:u w:val="single"/>
          <w:lang w:eastAsia="lt-LT"/>
        </w:rPr>
        <w:t>liepos</w:t>
      </w:r>
      <w:r w:rsidR="00C41E71">
        <w:rPr>
          <w:rFonts w:eastAsia="Calibri"/>
          <w:szCs w:val="24"/>
          <w:u w:val="single"/>
          <w:lang w:eastAsia="lt-LT"/>
        </w:rPr>
        <w:t xml:space="preserve">   </w:t>
      </w:r>
      <w:r>
        <w:rPr>
          <w:rFonts w:eastAsia="Calibri"/>
          <w:szCs w:val="24"/>
          <w:lang w:eastAsia="lt-LT"/>
        </w:rPr>
        <w:t>_____ d.</w:t>
      </w:r>
    </w:p>
    <w:p w:rsidR="00502CF5" w:rsidRDefault="00502CF5" w:rsidP="00502CF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C41E71" w:rsidRDefault="00C41E71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AA6079" w:rsidRDefault="00AA6079" w:rsidP="00C41E71">
      <w:pPr>
        <w:tabs>
          <w:tab w:val="right" w:pos="9071"/>
        </w:tabs>
      </w:pPr>
    </w:p>
    <w:p w:rsidR="00C41E71" w:rsidRDefault="00C41E71" w:rsidP="00C41E71">
      <w:pPr>
        <w:tabs>
          <w:tab w:val="right" w:pos="9071"/>
        </w:tabs>
      </w:pPr>
      <w:r>
        <w:t xml:space="preserve">Direktoriaus įgaliota </w:t>
      </w:r>
    </w:p>
    <w:p w:rsidR="00C41E71" w:rsidRDefault="00C41E71" w:rsidP="00C41E71">
      <w:pPr>
        <w:tabs>
          <w:tab w:val="right" w:pos="9071"/>
        </w:tabs>
      </w:pPr>
      <w:r>
        <w:t>Poveikio aplinkai vertinimo</w:t>
      </w:r>
    </w:p>
    <w:p w:rsidR="00C41E71" w:rsidRPr="0028505A" w:rsidRDefault="00C41E71" w:rsidP="00C41E71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Pr="0028505A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Default="00C41E71" w:rsidP="00C41E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rPr>
          <w:rFonts w:eastAsia="Calibri"/>
          <w:szCs w:val="24"/>
          <w:lang w:eastAsia="lt-LT"/>
        </w:rPr>
      </w:pPr>
      <w:r>
        <w:t xml:space="preserve">                             A.V.                                                                                                                                            </w:t>
      </w:r>
    </w:p>
    <w:p w:rsidR="000138CF" w:rsidRDefault="00C41E71">
      <w:r>
        <w:t xml:space="preserve">          </w:t>
      </w:r>
    </w:p>
    <w:sectPr w:rsidR="000138CF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01" w:rsidRDefault="00EA3B01" w:rsidP="00903298">
      <w:r>
        <w:separator/>
      </w:r>
    </w:p>
  </w:endnote>
  <w:endnote w:type="continuationSeparator" w:id="0">
    <w:p w:rsidR="00EA3B01" w:rsidRDefault="00EA3B01" w:rsidP="0090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01" w:rsidRDefault="00EA3B01" w:rsidP="00903298">
      <w:r>
        <w:separator/>
      </w:r>
    </w:p>
  </w:footnote>
  <w:footnote w:type="continuationSeparator" w:id="0">
    <w:p w:rsidR="00EA3B01" w:rsidRDefault="00EA3B01" w:rsidP="0090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6" w:rsidRDefault="002F104C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BC7CD6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E847AE">
      <w:rPr>
        <w:rFonts w:eastAsia="Calibri"/>
        <w:noProof/>
        <w:szCs w:val="24"/>
      </w:rPr>
      <w:t>4</w:t>
    </w:r>
    <w:r>
      <w:rPr>
        <w:rFonts w:eastAsia="Calibri"/>
        <w:szCs w:val="24"/>
      </w:rPr>
      <w:fldChar w:fldCharType="end"/>
    </w:r>
  </w:p>
  <w:p w:rsidR="00BC7CD6" w:rsidRDefault="00BC7CD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E7182"/>
    <w:rsid w:val="00122623"/>
    <w:rsid w:val="00172065"/>
    <w:rsid w:val="001E1CC3"/>
    <w:rsid w:val="002D1EBE"/>
    <w:rsid w:val="002F104C"/>
    <w:rsid w:val="00346638"/>
    <w:rsid w:val="00353651"/>
    <w:rsid w:val="003724CB"/>
    <w:rsid w:val="003A1444"/>
    <w:rsid w:val="003A43B1"/>
    <w:rsid w:val="003D015B"/>
    <w:rsid w:val="003D596D"/>
    <w:rsid w:val="003F20B5"/>
    <w:rsid w:val="00441061"/>
    <w:rsid w:val="004771BD"/>
    <w:rsid w:val="004C4A87"/>
    <w:rsid w:val="00502CF5"/>
    <w:rsid w:val="005371A2"/>
    <w:rsid w:val="005528B4"/>
    <w:rsid w:val="005D4FAE"/>
    <w:rsid w:val="005E73C0"/>
    <w:rsid w:val="005F7673"/>
    <w:rsid w:val="00623C3A"/>
    <w:rsid w:val="00692297"/>
    <w:rsid w:val="006D0A60"/>
    <w:rsid w:val="00757EE1"/>
    <w:rsid w:val="007C4803"/>
    <w:rsid w:val="007F6BA9"/>
    <w:rsid w:val="0088782C"/>
    <w:rsid w:val="008A3C5E"/>
    <w:rsid w:val="009002B5"/>
    <w:rsid w:val="00903298"/>
    <w:rsid w:val="009268CA"/>
    <w:rsid w:val="00950E66"/>
    <w:rsid w:val="00975C32"/>
    <w:rsid w:val="00A64D92"/>
    <w:rsid w:val="00AA4367"/>
    <w:rsid w:val="00AA6079"/>
    <w:rsid w:val="00AE7622"/>
    <w:rsid w:val="00B04C68"/>
    <w:rsid w:val="00B126BF"/>
    <w:rsid w:val="00B405AE"/>
    <w:rsid w:val="00B5567D"/>
    <w:rsid w:val="00B9774B"/>
    <w:rsid w:val="00BA0ECA"/>
    <w:rsid w:val="00BC2F77"/>
    <w:rsid w:val="00BC716B"/>
    <w:rsid w:val="00BC7CD6"/>
    <w:rsid w:val="00C41E71"/>
    <w:rsid w:val="00CC445A"/>
    <w:rsid w:val="00CE28F6"/>
    <w:rsid w:val="00D01B36"/>
    <w:rsid w:val="00D42CE4"/>
    <w:rsid w:val="00DA66F0"/>
    <w:rsid w:val="00DE35E4"/>
    <w:rsid w:val="00E134F3"/>
    <w:rsid w:val="00E46B77"/>
    <w:rsid w:val="00E5706C"/>
    <w:rsid w:val="00E847AE"/>
    <w:rsid w:val="00EA3B01"/>
    <w:rsid w:val="00F16308"/>
    <w:rsid w:val="00FA6952"/>
    <w:rsid w:val="00FB6ED1"/>
    <w:rsid w:val="00FB7293"/>
    <w:rsid w:val="00FB7767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3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yperlink">
    <w:name w:val="Hyperlink"/>
    <w:rsid w:val="00F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7007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5</cp:revision>
  <cp:lastPrinted>2016-07-27T12:19:00Z</cp:lastPrinted>
  <dcterms:created xsi:type="dcterms:W3CDTF">2016-07-27T08:03:00Z</dcterms:created>
  <dcterms:modified xsi:type="dcterms:W3CDTF">2016-07-27T12:36:00Z</dcterms:modified>
</cp:coreProperties>
</file>